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1"/>
        <w:spacing w:after="0" w:line="360" w:lineRule="exact"/>
        <w:ind w:left="0" w:leftChars="0" w:firstLine="0" w:firstLineChars="0"/>
        <w:jc w:val="left"/>
        <w:rPr>
          <w:rFonts w:ascii="仿宋_GB2312" w:hAnsi="宋体" w:eastAsia="仿宋_GB2312"/>
          <w:b/>
          <w:bCs/>
          <w:snapToGrid w:val="0"/>
          <w:kern w:val="0"/>
          <w:sz w:val="24"/>
        </w:rPr>
      </w:pPr>
      <w:bookmarkStart w:id="0" w:name="_GoBack"/>
      <w:bookmarkEnd w:id="0"/>
      <w:r>
        <w:rPr>
          <w:rFonts w:hint="eastAsia" w:ascii="仿宋_GB2312" w:hAnsi="宋体" w:eastAsia="仿宋_GB2312"/>
          <w:b/>
          <w:bCs/>
          <w:snapToGrid w:val="0"/>
          <w:kern w:val="0"/>
          <w:sz w:val="24"/>
        </w:rPr>
        <w:t>3</w:t>
      </w:r>
      <w:r>
        <w:rPr>
          <w:rFonts w:ascii="仿宋_GB2312" w:hAnsi="宋体" w:eastAsia="仿宋_GB2312"/>
          <w:b/>
          <w:bCs/>
          <w:snapToGrid w:val="0"/>
          <w:kern w:val="0"/>
          <w:sz w:val="24"/>
        </w:rPr>
        <w:t>.</w:t>
      </w:r>
      <w:r>
        <w:rPr>
          <w:rFonts w:hint="eastAsia" w:ascii="仿宋_GB2312" w:hAnsi="宋体" w:eastAsia="仿宋_GB2312"/>
          <w:b/>
          <w:bCs/>
          <w:snapToGrid w:val="0"/>
          <w:kern w:val="0"/>
          <w:sz w:val="24"/>
        </w:rPr>
        <w:t>外部供应项目技术要求</w:t>
      </w:r>
    </w:p>
    <w:p>
      <w:pPr>
        <w:pStyle w:val="10"/>
        <w:rPr>
          <w:rFonts w:eastAsia="仿宋_GB2312"/>
        </w:rPr>
      </w:pPr>
    </w:p>
    <w:p>
      <w:pPr>
        <w:pStyle w:val="2"/>
        <w:ind w:left="1063" w:hanging="643"/>
        <w:jc w:val="center"/>
        <w:rPr>
          <w:rFonts w:hint="eastAsia" w:ascii="Cambria" w:hAnsi="Cambria"/>
          <w:b/>
          <w:bCs/>
          <w:sz w:val="32"/>
          <w:szCs w:val="32"/>
        </w:rPr>
      </w:pPr>
      <w:r>
        <w:rPr>
          <w:rFonts w:hint="eastAsia" w:ascii="Cambria" w:hAnsi="Cambria"/>
          <w:b/>
          <w:bCs/>
          <w:sz w:val="32"/>
          <w:szCs w:val="32"/>
        </w:rPr>
        <w:t>外部</w:t>
      </w:r>
      <w:r>
        <w:rPr>
          <w:rFonts w:ascii="Cambria" w:hAnsi="Cambria"/>
          <w:b/>
          <w:bCs/>
          <w:sz w:val="32"/>
          <w:szCs w:val="32"/>
        </w:rPr>
        <w:t>供应项目技术要求</w:t>
      </w:r>
    </w:p>
    <w:tbl>
      <w:tblPr>
        <w:tblStyle w:val="1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15"/>
        <w:gridCol w:w="46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3" w:hRule="atLeast"/>
        </w:trPr>
        <w:tc>
          <w:tcPr>
            <w:tcW w:w="9231" w:type="dxa"/>
            <w:gridSpan w:val="2"/>
            <w:noWrap w:val="0"/>
            <w:vAlign w:val="top"/>
          </w:tcPr>
          <w:p>
            <w:pPr>
              <w:adjustRightInd w:val="0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项目基本情况：</w:t>
            </w:r>
          </w:p>
          <w:p>
            <w:pPr>
              <w:adjustRightInd w:val="0"/>
              <w:rPr>
                <w:snapToGrid w:val="0"/>
                <w:sz w:val="24"/>
              </w:rPr>
            </w:pPr>
            <w:r>
              <w:rPr>
                <w:rFonts w:hint="eastAsia"/>
                <w:snapToGrid w:val="0"/>
                <w:sz w:val="24"/>
              </w:rPr>
              <w:t>本项目起于若尔盖县班佑乡年朵坝接郎川高速，跨过热曲河后进入红原县，途径色地乡、麦洼乡、阿木乡，沿白河河谷展线，至红原县后向西南至安曲乡接久马高速。全线设计速度100公里/小时，路基宽度26.0米，路线全长约125.281公里，桥隧比约23.95%，估算总投资约155.65亿元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6" w:hRule="atLeast"/>
        </w:trPr>
        <w:tc>
          <w:tcPr>
            <w:tcW w:w="9231" w:type="dxa"/>
            <w:gridSpan w:val="2"/>
            <w:noWrap w:val="0"/>
            <w:vAlign w:val="top"/>
          </w:tcPr>
          <w:p>
            <w:pPr>
              <w:adjustRightInd w:val="0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采购具体内容：</w:t>
            </w:r>
          </w:p>
          <w:p>
            <w:pPr>
              <w:adjustRightInd w:val="0"/>
              <w:rPr>
                <w:snapToGrid w:val="0"/>
                <w:sz w:val="24"/>
              </w:rPr>
            </w:pPr>
            <w:r>
              <w:rPr>
                <w:rFonts w:hint="eastAsia"/>
                <w:snapToGrid w:val="0"/>
                <w:sz w:val="24"/>
              </w:rPr>
              <w:t>完成项目区地质灾害危险性评估报告编制，取得专家正式审查意见和主管部门批复（若有）。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4" w:hRule="atLeast"/>
        </w:trPr>
        <w:tc>
          <w:tcPr>
            <w:tcW w:w="9231" w:type="dxa"/>
            <w:gridSpan w:val="2"/>
            <w:noWrap w:val="0"/>
            <w:vAlign w:val="top"/>
          </w:tcPr>
          <w:p>
            <w:pPr>
              <w:adjustRightInd w:val="0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 xml:space="preserve">使用技术标准及规范： </w:t>
            </w:r>
          </w:p>
          <w:p>
            <w:pPr>
              <w:adjustRightInd w:val="0"/>
              <w:rPr>
                <w:rFonts w:hint="eastAsia"/>
                <w:color w:val="000000"/>
                <w:szCs w:val="21"/>
                <w:shd w:val="clear" w:color="auto" w:fill="FFFFFF"/>
              </w:rPr>
            </w:pPr>
            <w:r>
              <w:rPr>
                <w:rFonts w:hint="eastAsia"/>
                <w:color w:val="000000"/>
                <w:szCs w:val="21"/>
                <w:shd w:val="clear" w:color="auto" w:fill="FFFFFF"/>
              </w:rPr>
              <w:t xml:space="preserve">1《地质灾害危险性评估规范》（DZ/T0286-2015）； </w:t>
            </w:r>
          </w:p>
          <w:p>
            <w:pPr>
              <w:adjustRightInd w:val="0"/>
              <w:rPr>
                <w:rFonts w:hint="eastAsia"/>
                <w:color w:val="000000"/>
                <w:szCs w:val="21"/>
                <w:shd w:val="clear" w:color="auto" w:fill="FFFFFF"/>
              </w:rPr>
            </w:pPr>
            <w:r>
              <w:rPr>
                <w:rFonts w:hint="eastAsia"/>
                <w:color w:val="000000"/>
                <w:szCs w:val="21"/>
                <w:shd w:val="clear" w:color="auto" w:fill="FFFFFF"/>
              </w:rPr>
              <w:t>2《滑坡崩塌泥石流灾害调查规范（1:50000）》DZ/T 0261-2014；</w:t>
            </w:r>
          </w:p>
          <w:p>
            <w:pPr>
              <w:adjustRightInd w:val="0"/>
              <w:rPr>
                <w:rFonts w:hint="eastAsia"/>
                <w:color w:val="000000"/>
                <w:szCs w:val="21"/>
                <w:shd w:val="clear" w:color="auto" w:fill="FFFFFF"/>
              </w:rPr>
            </w:pPr>
            <w:r>
              <w:rPr>
                <w:rFonts w:hint="eastAsia"/>
                <w:color w:val="000000"/>
                <w:szCs w:val="21"/>
                <w:shd w:val="clear" w:color="auto" w:fill="FFFFFF"/>
              </w:rPr>
              <w:t>3《集镇滑坡崩塌泥石流勘查规范》DZ/T 0262-2014；</w:t>
            </w:r>
          </w:p>
          <w:p>
            <w:pPr>
              <w:adjustRightInd w:val="0"/>
              <w:rPr>
                <w:rFonts w:hint="eastAsia"/>
                <w:color w:val="000000"/>
                <w:szCs w:val="21"/>
                <w:shd w:val="clear" w:color="auto" w:fill="FFFFFF"/>
              </w:rPr>
            </w:pPr>
            <w:r>
              <w:rPr>
                <w:rFonts w:hint="eastAsia"/>
                <w:color w:val="000000"/>
                <w:szCs w:val="21"/>
                <w:shd w:val="clear" w:color="auto" w:fill="FFFFFF"/>
              </w:rPr>
              <w:t>4《地质灾害排查规范》DZ/T 0284-2015；</w:t>
            </w:r>
          </w:p>
          <w:p>
            <w:pPr>
              <w:adjustRightInd w:val="0"/>
              <w:rPr>
                <w:rFonts w:hint="eastAsia"/>
                <w:color w:val="000000"/>
                <w:szCs w:val="21"/>
                <w:shd w:val="clear" w:color="auto" w:fill="FFFFFF"/>
              </w:rPr>
            </w:pPr>
            <w:r>
              <w:rPr>
                <w:rFonts w:hint="eastAsia"/>
                <w:color w:val="000000"/>
                <w:szCs w:val="21"/>
                <w:shd w:val="clear" w:color="auto" w:fill="FFFFFF"/>
              </w:rPr>
              <w:t>5《工程地质调查规范（1：25000～1：50000）》（GB/T-0097-94）；</w:t>
            </w:r>
          </w:p>
          <w:p>
            <w:pPr>
              <w:adjustRightInd w:val="0"/>
              <w:rPr>
                <w:rFonts w:hint="eastAsia"/>
                <w:color w:val="000000"/>
                <w:szCs w:val="21"/>
                <w:shd w:val="clear" w:color="auto" w:fill="FFFFFF"/>
              </w:rPr>
            </w:pPr>
            <w:r>
              <w:rPr>
                <w:rFonts w:hint="eastAsia"/>
                <w:color w:val="000000"/>
                <w:szCs w:val="21"/>
                <w:shd w:val="clear" w:color="auto" w:fill="FFFFFF"/>
              </w:rPr>
              <w:t>6《工程地质编图规范（1：25000～1：50000）》（ZBD14003-89）；</w:t>
            </w:r>
          </w:p>
          <w:p>
            <w:pPr>
              <w:adjustRightInd w:val="0"/>
              <w:rPr>
                <w:rFonts w:hint="eastAsia"/>
                <w:color w:val="000000"/>
                <w:szCs w:val="21"/>
                <w:shd w:val="clear" w:color="auto" w:fill="FFFFFF"/>
              </w:rPr>
            </w:pPr>
            <w:r>
              <w:rPr>
                <w:rFonts w:hint="eastAsia"/>
                <w:color w:val="000000"/>
                <w:szCs w:val="21"/>
                <w:shd w:val="clear" w:color="auto" w:fill="FFFFFF"/>
              </w:rPr>
              <w:t>7《区域水文地质工程地质环境地质综合勘察规范（1：50000）》（GB/T14158-93）；</w:t>
            </w:r>
          </w:p>
          <w:p>
            <w:pPr>
              <w:adjustRightInd w:val="0"/>
              <w:rPr>
                <w:rFonts w:hint="eastAsia"/>
                <w:color w:val="000000"/>
                <w:szCs w:val="21"/>
                <w:shd w:val="clear" w:color="auto" w:fill="FFFFFF"/>
              </w:rPr>
            </w:pPr>
            <w:r>
              <w:rPr>
                <w:rFonts w:hint="eastAsia"/>
                <w:color w:val="000000"/>
                <w:szCs w:val="21"/>
                <w:shd w:val="clear" w:color="auto" w:fill="FFFFFF"/>
              </w:rPr>
              <w:t>8《综合工程地质图图例及色标》GB/T 12328-1990；</w:t>
            </w:r>
          </w:p>
          <w:p>
            <w:pPr>
              <w:adjustRightInd w:val="0"/>
              <w:rPr>
                <w:rFonts w:hint="eastAsia"/>
                <w:color w:val="000000"/>
                <w:szCs w:val="21"/>
                <w:shd w:val="clear" w:color="auto" w:fill="FFFFFF"/>
              </w:rPr>
            </w:pPr>
            <w:r>
              <w:rPr>
                <w:rFonts w:hint="eastAsia"/>
                <w:color w:val="000000"/>
                <w:szCs w:val="21"/>
                <w:shd w:val="clear" w:color="auto" w:fill="FFFFFF"/>
              </w:rPr>
              <w:t>9《地质灾害灾情统计》DZ/T 0269-2014；</w:t>
            </w:r>
          </w:p>
          <w:p>
            <w:pPr>
              <w:adjustRightInd w:val="0"/>
              <w:rPr>
                <w:rFonts w:hint="eastAsia"/>
                <w:color w:val="000000"/>
                <w:szCs w:val="21"/>
                <w:shd w:val="clear" w:color="auto" w:fill="FFFFFF"/>
              </w:rPr>
            </w:pPr>
            <w:r>
              <w:rPr>
                <w:rFonts w:hint="eastAsia"/>
                <w:color w:val="000000"/>
                <w:szCs w:val="21"/>
                <w:shd w:val="clear" w:color="auto" w:fill="FFFFFF"/>
              </w:rPr>
              <w:t>10《中国地震动参数区划图》（GB18306-2015）；</w:t>
            </w:r>
          </w:p>
          <w:p>
            <w:pPr>
              <w:adjustRightInd w:val="0"/>
              <w:rPr>
                <w:rFonts w:hint="eastAsia"/>
                <w:color w:val="000000"/>
                <w:szCs w:val="21"/>
                <w:shd w:val="clear" w:color="auto" w:fill="FFFFFF"/>
              </w:rPr>
            </w:pPr>
            <w:r>
              <w:rPr>
                <w:rFonts w:hint="eastAsia"/>
                <w:color w:val="000000"/>
                <w:szCs w:val="21"/>
                <w:shd w:val="clear" w:color="auto" w:fill="FFFFFF"/>
              </w:rPr>
              <w:t>11《地质灾害防治工程勘察规范》（DB50143-2016）；</w:t>
            </w:r>
          </w:p>
          <w:p>
            <w:pPr>
              <w:adjustRightInd w:val="0"/>
              <w:rPr>
                <w:rFonts w:hint="eastAsia"/>
                <w:color w:val="000000"/>
                <w:szCs w:val="21"/>
                <w:shd w:val="clear" w:color="auto" w:fill="FFFFFF"/>
              </w:rPr>
            </w:pPr>
            <w:r>
              <w:rPr>
                <w:rFonts w:hint="eastAsia"/>
                <w:color w:val="000000"/>
                <w:szCs w:val="21"/>
                <w:shd w:val="clear" w:color="auto" w:fill="FFFFFF"/>
              </w:rPr>
              <w:t>12《滑坡防治工程勘查规范》(GBT32864-2016)；</w:t>
            </w:r>
          </w:p>
          <w:p>
            <w:pPr>
              <w:adjustRightInd w:val="0"/>
              <w:rPr>
                <w:snapToGrid w:val="0"/>
                <w:sz w:val="24"/>
              </w:rPr>
            </w:pPr>
            <w:r>
              <w:rPr>
                <w:rFonts w:hint="eastAsia"/>
                <w:color w:val="000000"/>
                <w:szCs w:val="21"/>
                <w:shd w:val="clear" w:color="auto" w:fill="FFFFFF"/>
              </w:rPr>
              <w:t>13《岩土工程勘察规范》(GB5002112001，2009年版)。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6" w:hRule="atLeast"/>
        </w:trPr>
        <w:tc>
          <w:tcPr>
            <w:tcW w:w="9231" w:type="dxa"/>
            <w:gridSpan w:val="2"/>
            <w:noWrap w:val="0"/>
            <w:vAlign w:val="top"/>
          </w:tcPr>
          <w:p>
            <w:pPr>
              <w:adjustRightInd w:val="0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技术要求：</w:t>
            </w:r>
          </w:p>
          <w:p>
            <w:pPr>
              <w:adjustRightInd w:val="0"/>
              <w:rPr>
                <w:snapToGrid w:val="0"/>
                <w:sz w:val="24"/>
              </w:rPr>
            </w:pPr>
            <w:r>
              <w:rPr>
                <w:rFonts w:hint="eastAsia"/>
                <w:color w:val="000000"/>
                <w:szCs w:val="21"/>
                <w:shd w:val="clear" w:color="auto" w:fill="FFFFFF"/>
              </w:rPr>
              <w:t>满足国家现行标准法规及四川省行业技术相关要求，取得专家正式审查意见和主管部门批复（若有）。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1" w:hRule="atLeast"/>
        </w:trPr>
        <w:tc>
          <w:tcPr>
            <w:tcW w:w="4615" w:type="dxa"/>
            <w:noWrap w:val="0"/>
            <w:vAlign w:val="top"/>
          </w:tcPr>
          <w:p>
            <w:pPr>
              <w:adjustRightInd w:val="0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采购方将提供的图件资料：</w:t>
            </w:r>
          </w:p>
          <w:p>
            <w:pPr>
              <w:adjustRightInd w:val="0"/>
              <w:rPr>
                <w:rFonts w:hint="eastAsia"/>
                <w:snapToGrid w:val="0"/>
                <w:sz w:val="24"/>
              </w:rPr>
            </w:pPr>
            <w:r>
              <w:rPr>
                <w:rFonts w:hint="eastAsia"/>
                <w:color w:val="000000"/>
                <w:szCs w:val="21"/>
                <w:shd w:val="clear" w:color="auto" w:fill="FFFFFF"/>
              </w:rPr>
              <w:t>工可路线、工可报告（文字部分）</w:t>
            </w:r>
          </w:p>
        </w:tc>
        <w:tc>
          <w:tcPr>
            <w:tcW w:w="4616" w:type="dxa"/>
            <w:noWrap w:val="0"/>
            <w:vAlign w:val="top"/>
          </w:tcPr>
          <w:p>
            <w:pPr>
              <w:adjustRightInd w:val="0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采购成果形式及要求：</w:t>
            </w:r>
          </w:p>
          <w:p>
            <w:pPr>
              <w:adjustRightInd w:val="0"/>
              <w:rPr>
                <w:snapToGrid w:val="0"/>
                <w:sz w:val="24"/>
              </w:rPr>
            </w:pPr>
            <w:r>
              <w:rPr>
                <w:rFonts w:hint="eastAsia"/>
                <w:color w:val="000000"/>
                <w:szCs w:val="21"/>
                <w:shd w:val="clear" w:color="auto" w:fill="FFFFFF"/>
              </w:rPr>
              <w:t>交付的成果形式及要求严格按照合同签订相关内容执行。</w:t>
            </w:r>
          </w:p>
        </w:tc>
      </w:tr>
    </w:tbl>
    <w:p>
      <w:pPr>
        <w:pStyle w:val="10"/>
        <w:rPr>
          <w:rFonts w:eastAsia="仿宋_GB2312"/>
        </w:rPr>
      </w:pPr>
    </w:p>
    <w:sectPr>
      <w:pgSz w:w="11906" w:h="16838"/>
      <w:pgMar w:top="1417" w:right="1417" w:bottom="1417" w:left="1474" w:header="851" w:footer="992" w:gutter="0"/>
      <w:cols w:space="720" w:num="1"/>
      <w:titlePg/>
      <w:docGrid w:type="lines" w:linePitch="321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U0ODJhODI4ZGU4MjdhZTQyMDQ1ODc4MTBjZDUyNDgifQ=="/>
  </w:docVars>
  <w:rsids>
    <w:rsidRoot w:val="00104AAD"/>
    <w:rsid w:val="00016239"/>
    <w:rsid w:val="00104AAD"/>
    <w:rsid w:val="001F0BA3"/>
    <w:rsid w:val="00764FB1"/>
    <w:rsid w:val="0078373A"/>
    <w:rsid w:val="00AE383E"/>
    <w:rsid w:val="00F607FB"/>
    <w:rsid w:val="00F736F7"/>
    <w:rsid w:val="01B35B8E"/>
    <w:rsid w:val="02000918"/>
    <w:rsid w:val="025539BF"/>
    <w:rsid w:val="02F776C1"/>
    <w:rsid w:val="030727B5"/>
    <w:rsid w:val="03124EC9"/>
    <w:rsid w:val="034E5A28"/>
    <w:rsid w:val="03862A8E"/>
    <w:rsid w:val="03943B7B"/>
    <w:rsid w:val="03BC7892"/>
    <w:rsid w:val="0473532B"/>
    <w:rsid w:val="04930CD5"/>
    <w:rsid w:val="0539112A"/>
    <w:rsid w:val="057531DD"/>
    <w:rsid w:val="05A37308"/>
    <w:rsid w:val="05A9269D"/>
    <w:rsid w:val="05AE14CF"/>
    <w:rsid w:val="05D277A2"/>
    <w:rsid w:val="065F6CC6"/>
    <w:rsid w:val="06B37672"/>
    <w:rsid w:val="0718648F"/>
    <w:rsid w:val="0721282E"/>
    <w:rsid w:val="07797E70"/>
    <w:rsid w:val="080143BB"/>
    <w:rsid w:val="082F5754"/>
    <w:rsid w:val="08534108"/>
    <w:rsid w:val="089D471C"/>
    <w:rsid w:val="08A96637"/>
    <w:rsid w:val="09411C27"/>
    <w:rsid w:val="098F015C"/>
    <w:rsid w:val="0A8D2745"/>
    <w:rsid w:val="0B0562E5"/>
    <w:rsid w:val="0B212DFC"/>
    <w:rsid w:val="0BD007AD"/>
    <w:rsid w:val="0C256BC6"/>
    <w:rsid w:val="0C275BE1"/>
    <w:rsid w:val="0CEF6036"/>
    <w:rsid w:val="0D4D630D"/>
    <w:rsid w:val="0DB07A7C"/>
    <w:rsid w:val="0EDB69A2"/>
    <w:rsid w:val="0F234C69"/>
    <w:rsid w:val="0F4D2617"/>
    <w:rsid w:val="0F9C6EF5"/>
    <w:rsid w:val="0FEA78A1"/>
    <w:rsid w:val="0FF00514"/>
    <w:rsid w:val="101121EA"/>
    <w:rsid w:val="10121ABA"/>
    <w:rsid w:val="105B274B"/>
    <w:rsid w:val="10B14C22"/>
    <w:rsid w:val="11423ACC"/>
    <w:rsid w:val="117A6082"/>
    <w:rsid w:val="12370E3E"/>
    <w:rsid w:val="12667B30"/>
    <w:rsid w:val="12BC6B15"/>
    <w:rsid w:val="12DB5A84"/>
    <w:rsid w:val="13E744B7"/>
    <w:rsid w:val="14954641"/>
    <w:rsid w:val="14B4510B"/>
    <w:rsid w:val="15014F39"/>
    <w:rsid w:val="159B43D0"/>
    <w:rsid w:val="15D153F6"/>
    <w:rsid w:val="160E046E"/>
    <w:rsid w:val="16D5217B"/>
    <w:rsid w:val="170773AB"/>
    <w:rsid w:val="175977D3"/>
    <w:rsid w:val="178B039D"/>
    <w:rsid w:val="17CF3BE0"/>
    <w:rsid w:val="17EC6540"/>
    <w:rsid w:val="17F24B0D"/>
    <w:rsid w:val="17F6224A"/>
    <w:rsid w:val="189574CF"/>
    <w:rsid w:val="18B6056A"/>
    <w:rsid w:val="18DF701F"/>
    <w:rsid w:val="19974512"/>
    <w:rsid w:val="1A6F204B"/>
    <w:rsid w:val="1A8C400A"/>
    <w:rsid w:val="1B8323B1"/>
    <w:rsid w:val="1CAA0C08"/>
    <w:rsid w:val="1CBC0BD7"/>
    <w:rsid w:val="1CD43A41"/>
    <w:rsid w:val="1CD73540"/>
    <w:rsid w:val="1E024936"/>
    <w:rsid w:val="1E1C143B"/>
    <w:rsid w:val="1E7159F1"/>
    <w:rsid w:val="1F9312AE"/>
    <w:rsid w:val="1F9C084C"/>
    <w:rsid w:val="1FC83818"/>
    <w:rsid w:val="1FF23900"/>
    <w:rsid w:val="20B83463"/>
    <w:rsid w:val="20CE56C6"/>
    <w:rsid w:val="21345915"/>
    <w:rsid w:val="215C682E"/>
    <w:rsid w:val="22574E59"/>
    <w:rsid w:val="22812984"/>
    <w:rsid w:val="229E48F3"/>
    <w:rsid w:val="238472EE"/>
    <w:rsid w:val="23C823A8"/>
    <w:rsid w:val="23CE0A96"/>
    <w:rsid w:val="23E21DAF"/>
    <w:rsid w:val="24182DC7"/>
    <w:rsid w:val="24E94533"/>
    <w:rsid w:val="252A0AA4"/>
    <w:rsid w:val="258D6895"/>
    <w:rsid w:val="25A71967"/>
    <w:rsid w:val="25FF3F9C"/>
    <w:rsid w:val="260B66CF"/>
    <w:rsid w:val="26864DA2"/>
    <w:rsid w:val="26EE7DA5"/>
    <w:rsid w:val="270F7B55"/>
    <w:rsid w:val="272432F0"/>
    <w:rsid w:val="27343A60"/>
    <w:rsid w:val="279C2C8A"/>
    <w:rsid w:val="27EC31AA"/>
    <w:rsid w:val="285A3310"/>
    <w:rsid w:val="28CE4ADB"/>
    <w:rsid w:val="29295173"/>
    <w:rsid w:val="29773C6A"/>
    <w:rsid w:val="29CC61D1"/>
    <w:rsid w:val="2AEC3693"/>
    <w:rsid w:val="2B0B139A"/>
    <w:rsid w:val="2B111BD0"/>
    <w:rsid w:val="2B23279D"/>
    <w:rsid w:val="2C123BFA"/>
    <w:rsid w:val="2D807C8C"/>
    <w:rsid w:val="2E315AD4"/>
    <w:rsid w:val="2E43648D"/>
    <w:rsid w:val="2E461D92"/>
    <w:rsid w:val="2E9C2616"/>
    <w:rsid w:val="2ED718A0"/>
    <w:rsid w:val="2F98094B"/>
    <w:rsid w:val="305D14FC"/>
    <w:rsid w:val="31B629A1"/>
    <w:rsid w:val="32463F4C"/>
    <w:rsid w:val="328D134E"/>
    <w:rsid w:val="33E96B65"/>
    <w:rsid w:val="348C18C8"/>
    <w:rsid w:val="34C82BB2"/>
    <w:rsid w:val="35EB4C68"/>
    <w:rsid w:val="3622149E"/>
    <w:rsid w:val="369B4966"/>
    <w:rsid w:val="36F41EFD"/>
    <w:rsid w:val="372833DA"/>
    <w:rsid w:val="37A34FFE"/>
    <w:rsid w:val="385F3015"/>
    <w:rsid w:val="386542A9"/>
    <w:rsid w:val="38C05153"/>
    <w:rsid w:val="393A4BBC"/>
    <w:rsid w:val="397F3342"/>
    <w:rsid w:val="39BB1C4A"/>
    <w:rsid w:val="3A1872BE"/>
    <w:rsid w:val="3ACC0DB7"/>
    <w:rsid w:val="3AE52387"/>
    <w:rsid w:val="3B782480"/>
    <w:rsid w:val="3BA174BE"/>
    <w:rsid w:val="3BE56F85"/>
    <w:rsid w:val="3C4340D1"/>
    <w:rsid w:val="3C90311A"/>
    <w:rsid w:val="3E3607C8"/>
    <w:rsid w:val="3EB467C1"/>
    <w:rsid w:val="3F0A092F"/>
    <w:rsid w:val="3F1518EB"/>
    <w:rsid w:val="3F8E573F"/>
    <w:rsid w:val="3FBB6674"/>
    <w:rsid w:val="40414DCB"/>
    <w:rsid w:val="40556AC9"/>
    <w:rsid w:val="40F348B3"/>
    <w:rsid w:val="413D3239"/>
    <w:rsid w:val="419C1D47"/>
    <w:rsid w:val="422E41F3"/>
    <w:rsid w:val="4231616C"/>
    <w:rsid w:val="423C1307"/>
    <w:rsid w:val="42FA74B4"/>
    <w:rsid w:val="4314418C"/>
    <w:rsid w:val="4352547A"/>
    <w:rsid w:val="43721740"/>
    <w:rsid w:val="43F31858"/>
    <w:rsid w:val="44557097"/>
    <w:rsid w:val="44B85C91"/>
    <w:rsid w:val="45104DA0"/>
    <w:rsid w:val="465F2955"/>
    <w:rsid w:val="46890ACB"/>
    <w:rsid w:val="46A2058E"/>
    <w:rsid w:val="46A24F9B"/>
    <w:rsid w:val="470923BB"/>
    <w:rsid w:val="47B62742"/>
    <w:rsid w:val="47B831CD"/>
    <w:rsid w:val="47B868EA"/>
    <w:rsid w:val="48334E93"/>
    <w:rsid w:val="48B171B1"/>
    <w:rsid w:val="4A261049"/>
    <w:rsid w:val="4C131EA3"/>
    <w:rsid w:val="4C7C52A6"/>
    <w:rsid w:val="4C92618F"/>
    <w:rsid w:val="4CA62F89"/>
    <w:rsid w:val="4D3974F2"/>
    <w:rsid w:val="4D697710"/>
    <w:rsid w:val="4E83273B"/>
    <w:rsid w:val="4EE40D8E"/>
    <w:rsid w:val="4F2443F7"/>
    <w:rsid w:val="4F3F76EB"/>
    <w:rsid w:val="508D5AA4"/>
    <w:rsid w:val="50B87089"/>
    <w:rsid w:val="516F4264"/>
    <w:rsid w:val="51972CF4"/>
    <w:rsid w:val="5246216B"/>
    <w:rsid w:val="527728CF"/>
    <w:rsid w:val="52AF69C2"/>
    <w:rsid w:val="52D50CC3"/>
    <w:rsid w:val="52D93700"/>
    <w:rsid w:val="5351328A"/>
    <w:rsid w:val="53B56B6E"/>
    <w:rsid w:val="53C040E4"/>
    <w:rsid w:val="53C1227F"/>
    <w:rsid w:val="53CE5B71"/>
    <w:rsid w:val="54112301"/>
    <w:rsid w:val="54AB4379"/>
    <w:rsid w:val="550E67F7"/>
    <w:rsid w:val="55124B31"/>
    <w:rsid w:val="558D1ADF"/>
    <w:rsid w:val="56A57F03"/>
    <w:rsid w:val="57C00874"/>
    <w:rsid w:val="58C30719"/>
    <w:rsid w:val="58EB678F"/>
    <w:rsid w:val="59673DAB"/>
    <w:rsid w:val="597932EA"/>
    <w:rsid w:val="598F04FE"/>
    <w:rsid w:val="59C13D85"/>
    <w:rsid w:val="59C6443B"/>
    <w:rsid w:val="5A7F0308"/>
    <w:rsid w:val="5A89319F"/>
    <w:rsid w:val="5B5D607E"/>
    <w:rsid w:val="5BBE331C"/>
    <w:rsid w:val="5C382836"/>
    <w:rsid w:val="5C6D3D3E"/>
    <w:rsid w:val="5C781C0D"/>
    <w:rsid w:val="5C9B470B"/>
    <w:rsid w:val="5CAC445F"/>
    <w:rsid w:val="5CD50F73"/>
    <w:rsid w:val="5D834E78"/>
    <w:rsid w:val="5D8906DA"/>
    <w:rsid w:val="5E525F9E"/>
    <w:rsid w:val="5E5E7D91"/>
    <w:rsid w:val="5EA93739"/>
    <w:rsid w:val="5F29425C"/>
    <w:rsid w:val="60681728"/>
    <w:rsid w:val="60EF08C9"/>
    <w:rsid w:val="619306EF"/>
    <w:rsid w:val="61A234E1"/>
    <w:rsid w:val="61BF5946"/>
    <w:rsid w:val="63A2674F"/>
    <w:rsid w:val="63B52246"/>
    <w:rsid w:val="64001362"/>
    <w:rsid w:val="645211AA"/>
    <w:rsid w:val="647262C2"/>
    <w:rsid w:val="64990483"/>
    <w:rsid w:val="64F10902"/>
    <w:rsid w:val="655838F4"/>
    <w:rsid w:val="65EE0CA2"/>
    <w:rsid w:val="662B5A52"/>
    <w:rsid w:val="664B2562"/>
    <w:rsid w:val="667F18FA"/>
    <w:rsid w:val="67167BBF"/>
    <w:rsid w:val="673F4E79"/>
    <w:rsid w:val="67BF46A4"/>
    <w:rsid w:val="68752F79"/>
    <w:rsid w:val="690B6DDE"/>
    <w:rsid w:val="698A0CE2"/>
    <w:rsid w:val="69CE5059"/>
    <w:rsid w:val="6A9F7342"/>
    <w:rsid w:val="6AB80BF9"/>
    <w:rsid w:val="6AF33665"/>
    <w:rsid w:val="6B726DE3"/>
    <w:rsid w:val="6BD718E7"/>
    <w:rsid w:val="6BED2502"/>
    <w:rsid w:val="6BF96F4F"/>
    <w:rsid w:val="6CB70040"/>
    <w:rsid w:val="6CE64878"/>
    <w:rsid w:val="6DB43A90"/>
    <w:rsid w:val="6E1535BA"/>
    <w:rsid w:val="6E4771A1"/>
    <w:rsid w:val="6E761EC2"/>
    <w:rsid w:val="6EB24B14"/>
    <w:rsid w:val="704305FD"/>
    <w:rsid w:val="70A77CBB"/>
    <w:rsid w:val="71F86373"/>
    <w:rsid w:val="728A72A2"/>
    <w:rsid w:val="73213F3F"/>
    <w:rsid w:val="73392831"/>
    <w:rsid w:val="738F5DFF"/>
    <w:rsid w:val="746740F9"/>
    <w:rsid w:val="74A120DE"/>
    <w:rsid w:val="74AB7F63"/>
    <w:rsid w:val="75341746"/>
    <w:rsid w:val="75DF733A"/>
    <w:rsid w:val="77054970"/>
    <w:rsid w:val="77A27886"/>
    <w:rsid w:val="77F0355E"/>
    <w:rsid w:val="78212811"/>
    <w:rsid w:val="78457728"/>
    <w:rsid w:val="7846221B"/>
    <w:rsid w:val="78D635FC"/>
    <w:rsid w:val="78EA5489"/>
    <w:rsid w:val="78F74635"/>
    <w:rsid w:val="795D3040"/>
    <w:rsid w:val="79624D62"/>
    <w:rsid w:val="79761AE5"/>
    <w:rsid w:val="7A4B21AB"/>
    <w:rsid w:val="7A5E0BFF"/>
    <w:rsid w:val="7B7602F7"/>
    <w:rsid w:val="7BFB5600"/>
    <w:rsid w:val="7C186BDC"/>
    <w:rsid w:val="7CAA3813"/>
    <w:rsid w:val="7D4726B1"/>
    <w:rsid w:val="7D5531FD"/>
    <w:rsid w:val="7D5B3B48"/>
    <w:rsid w:val="7DB639FC"/>
    <w:rsid w:val="7E2117BD"/>
    <w:rsid w:val="7E3635B1"/>
    <w:rsid w:val="7E6B6EDC"/>
    <w:rsid w:val="7EE4500E"/>
    <w:rsid w:val="7EE7676E"/>
    <w:rsid w:val="7F9D6FB5"/>
    <w:rsid w:val="7FE94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4"/>
    <w:basedOn w:val="1"/>
    <w:next w:val="1"/>
    <w:qFormat/>
    <w:uiPriority w:val="0"/>
    <w:pPr>
      <w:keepNext/>
      <w:keepLines/>
      <w:spacing w:line="240" w:lineRule="atLeast"/>
      <w:jc w:val="left"/>
      <w:outlineLvl w:val="3"/>
    </w:pPr>
    <w:rPr>
      <w:rFonts w:ascii="Arial" w:hAnsi="Arial"/>
      <w:bCs/>
      <w:kern w:val="0"/>
      <w:sz w:val="28"/>
      <w:szCs w:val="28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able of figures"/>
    <w:basedOn w:val="1"/>
    <w:next w:val="1"/>
    <w:qFormat/>
    <w:uiPriority w:val="0"/>
    <w:pPr>
      <w:ind w:left="200" w:leftChars="200" w:hanging="200" w:hangingChars="200"/>
    </w:pPr>
  </w:style>
  <w:style w:type="paragraph" w:styleId="4">
    <w:name w:val="Normal Indent"/>
    <w:basedOn w:val="1"/>
    <w:qFormat/>
    <w:uiPriority w:val="0"/>
    <w:pPr>
      <w:ind w:firstLine="420" w:firstLineChars="200"/>
    </w:pPr>
  </w:style>
  <w:style w:type="paragraph" w:styleId="5">
    <w:name w:val="Body Text"/>
    <w:basedOn w:val="1"/>
    <w:next w:val="6"/>
    <w:qFormat/>
    <w:uiPriority w:val="0"/>
    <w:pPr>
      <w:spacing w:after="120"/>
    </w:pPr>
  </w:style>
  <w:style w:type="paragraph" w:customStyle="1" w:styleId="6">
    <w:name w:val="附件标题-1"/>
    <w:basedOn w:val="1"/>
    <w:next w:val="1"/>
    <w:qFormat/>
    <w:uiPriority w:val="0"/>
    <w:pPr>
      <w:spacing w:before="156" w:beforeLines="50" w:after="156" w:afterLines="50"/>
      <w:jc w:val="center"/>
    </w:pPr>
    <w:rPr>
      <w:rFonts w:eastAsia="黑体"/>
      <w:sz w:val="32"/>
    </w:rPr>
  </w:style>
  <w:style w:type="paragraph" w:styleId="7">
    <w:name w:val="Body Text Indent"/>
    <w:basedOn w:val="1"/>
    <w:qFormat/>
    <w:uiPriority w:val="99"/>
    <w:pPr>
      <w:spacing w:line="500" w:lineRule="exact"/>
      <w:ind w:left="1588" w:leftChars="832" w:firstLine="433" w:firstLineChars="196"/>
    </w:pPr>
    <w:rPr>
      <w:kern w:val="0"/>
      <w:sz w:val="20"/>
    </w:rPr>
  </w:style>
  <w:style w:type="paragraph" w:styleId="8">
    <w:name w:val="Plain Text"/>
    <w:basedOn w:val="1"/>
    <w:qFormat/>
    <w:uiPriority w:val="0"/>
    <w:rPr>
      <w:rFonts w:ascii="宋体" w:hAnsi="Courier New" w:eastAsia="宋体" w:cs="Courier New"/>
      <w:kern w:val="2"/>
      <w:sz w:val="21"/>
      <w:szCs w:val="21"/>
      <w:lang w:val="en-US" w:eastAsia="zh-CN" w:bidi="ar-SA"/>
    </w:rPr>
  </w:style>
  <w:style w:type="paragraph" w:styleId="9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Body Text 2"/>
    <w:basedOn w:val="1"/>
    <w:qFormat/>
    <w:uiPriority w:val="0"/>
    <w:pPr>
      <w:spacing w:after="120" w:line="480" w:lineRule="auto"/>
    </w:pPr>
  </w:style>
  <w:style w:type="paragraph" w:styleId="11">
    <w:name w:val="Body Text First Indent 2"/>
    <w:basedOn w:val="7"/>
    <w:qFormat/>
    <w:uiPriority w:val="0"/>
    <w:pPr>
      <w:spacing w:after="120"/>
      <w:ind w:left="420" w:leftChars="200" w:firstLine="420" w:firstLineChars="200"/>
    </w:pPr>
    <w:rPr>
      <w:rFonts w:ascii="宋体" w:hAnsi="Calibri"/>
      <w:kern w:val="2"/>
      <w:sz w:val="21"/>
      <w:szCs w:val="24"/>
    </w:rPr>
  </w:style>
  <w:style w:type="character" w:styleId="14">
    <w:name w:val="page number"/>
    <w:qFormat/>
    <w:uiPriority w:val="0"/>
  </w:style>
  <w:style w:type="paragraph" w:customStyle="1" w:styleId="15">
    <w:name w:val="reader-word-layer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6">
    <w:name w:val="Table Paragraph"/>
    <w:basedOn w:val="1"/>
    <w:qFormat/>
    <w:uiPriority w:val="1"/>
    <w:rPr>
      <w:rFonts w:ascii="仿宋" w:hAnsi="仿宋" w:eastAsia="仿宋" w:cs="仿宋"/>
      <w:lang w:val="zh-CN" w:bidi="zh-CN"/>
    </w:rPr>
  </w:style>
  <w:style w:type="character" w:customStyle="1" w:styleId="17">
    <w:name w:val="font11"/>
    <w:basedOn w:val="13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8">
    <w:name w:val="font21"/>
    <w:basedOn w:val="13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paragraph" w:customStyle="1" w:styleId="19">
    <w:name w:val="正文首行缩进两字符"/>
    <w:basedOn w:val="1"/>
    <w:qFormat/>
    <w:uiPriority w:val="0"/>
    <w:pPr>
      <w:spacing w:line="360" w:lineRule="auto"/>
      <w:ind w:firstLine="20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14</Pages>
  <Words>3138</Words>
  <Characters>3267</Characters>
  <Lines>44</Lines>
  <Paragraphs>12</Paragraphs>
  <TotalTime>5</TotalTime>
  <ScaleCrop>false</ScaleCrop>
  <LinksUpToDate>false</LinksUpToDate>
  <CharactersWithSpaces>4050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2023-03-17T02:08:00Z</dcterms:created>
  <dc:creator>Administrator.PC-202204181249</dc:creator>
  <cp:lastModifiedBy>尋羊冐險</cp:lastModifiedBy>
  <cp:lastPrinted>2023-06-16T08:26:00Z</cp:lastPrinted>
  <dcterms:modified xsi:type="dcterms:W3CDTF">2023-09-19T01:52:34Z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E1FDF382628D4CC29047CF508F4DFA56_13</vt:lpwstr>
  </property>
</Properties>
</file>